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0B80D" w14:textId="77777777" w:rsidR="00551108" w:rsidRDefault="00551108" w:rsidP="00DF79D9">
      <w:pPr>
        <w:jc w:val="center"/>
        <w:rPr>
          <w:rFonts w:ascii="Verdana" w:hAnsi="Verdana"/>
          <w:b/>
          <w:bCs/>
          <w:i/>
          <w:iCs/>
          <w:sz w:val="24"/>
          <w:szCs w:val="24"/>
        </w:rPr>
      </w:pPr>
    </w:p>
    <w:p w14:paraId="44F13D7D" w14:textId="13F3340E" w:rsidR="00AB19E1" w:rsidRPr="00DF79D9" w:rsidRDefault="00DF79D9" w:rsidP="00DF79D9">
      <w:pPr>
        <w:jc w:val="center"/>
        <w:rPr>
          <w:rFonts w:ascii="Verdana" w:hAnsi="Verdana"/>
          <w:b/>
          <w:bCs/>
          <w:i/>
          <w:iCs/>
          <w:sz w:val="24"/>
          <w:szCs w:val="24"/>
        </w:rPr>
      </w:pPr>
      <w:r w:rsidRPr="00DF79D9">
        <w:rPr>
          <w:rFonts w:ascii="Verdana" w:hAnsi="Verdana"/>
          <w:b/>
          <w:bCs/>
          <w:i/>
          <w:iCs/>
          <w:sz w:val="24"/>
          <w:szCs w:val="24"/>
        </w:rPr>
        <w:t>INSTRUCCIONES PARA EL VOTO POR CORREO. ART. 33 DEL REGLAMENTO ELECTORAL</w:t>
      </w:r>
    </w:p>
    <w:p w14:paraId="2518E77E" w14:textId="77777777" w:rsidR="00DF79D9" w:rsidRDefault="00DF79D9"/>
    <w:p w14:paraId="040A8ECD" w14:textId="77777777" w:rsidR="00DF79D9" w:rsidRDefault="00DF79D9"/>
    <w:p w14:paraId="739EF587" w14:textId="77777777" w:rsidR="00742227" w:rsidRPr="00742227" w:rsidRDefault="00742227" w:rsidP="00742227">
      <w:pPr>
        <w:autoSpaceDE w:val="0"/>
        <w:autoSpaceDN w:val="0"/>
        <w:adjustRightInd w:val="0"/>
        <w:spacing w:after="0" w:line="240" w:lineRule="auto"/>
        <w:rPr>
          <w:rFonts w:ascii="Bookman Old Style" w:hAnsi="Bookman Old Style" w:cs="Bookman Old Style"/>
          <w:color w:val="000000"/>
          <w:sz w:val="23"/>
          <w:szCs w:val="23"/>
        </w:rPr>
      </w:pPr>
      <w:r w:rsidRPr="00742227">
        <w:rPr>
          <w:rFonts w:ascii="Bookman Old Style" w:hAnsi="Bookman Old Style" w:cs="Bookman Old Style"/>
          <w:b/>
          <w:bCs/>
          <w:color w:val="000000"/>
          <w:sz w:val="23"/>
          <w:szCs w:val="23"/>
        </w:rPr>
        <w:t xml:space="preserve">Artículo 33. Voto por correo </w:t>
      </w:r>
    </w:p>
    <w:p w14:paraId="343E2997" w14:textId="77777777" w:rsidR="00742227" w:rsidRPr="00742227" w:rsidRDefault="00742227" w:rsidP="00742227">
      <w:pPr>
        <w:autoSpaceDE w:val="0"/>
        <w:autoSpaceDN w:val="0"/>
        <w:adjustRightInd w:val="0"/>
        <w:spacing w:after="0" w:line="240" w:lineRule="auto"/>
        <w:rPr>
          <w:rFonts w:ascii="Calibri" w:hAnsi="Calibri" w:cs="Calibri"/>
        </w:rPr>
      </w:pPr>
      <w:r w:rsidRPr="00742227">
        <w:rPr>
          <w:rFonts w:ascii="Calibri" w:hAnsi="Calibri" w:cs="Calibri"/>
        </w:rPr>
        <w:t xml:space="preserve">1. </w:t>
      </w:r>
    </w:p>
    <w:p w14:paraId="74E7FCA7" w14:textId="4BE2A7E5" w:rsidR="00742227" w:rsidRPr="00742227" w:rsidRDefault="00742227" w:rsidP="00742227">
      <w:pPr>
        <w:autoSpaceDE w:val="0"/>
        <w:autoSpaceDN w:val="0"/>
        <w:adjustRightInd w:val="0"/>
        <w:spacing w:after="0" w:line="240" w:lineRule="auto"/>
        <w:rPr>
          <w:rFonts w:ascii="Bookman Old Style" w:hAnsi="Bookman Old Style" w:cs="Bookman Old Style"/>
          <w:sz w:val="23"/>
          <w:szCs w:val="23"/>
        </w:rPr>
      </w:pPr>
      <w:r w:rsidRPr="00742227">
        <w:rPr>
          <w:rFonts w:ascii="Bookman Old Style" w:hAnsi="Bookman Old Style" w:cs="Bookman Old Style"/>
          <w:sz w:val="23"/>
          <w:szCs w:val="23"/>
        </w:rPr>
        <w:t xml:space="preserve">Aquellas personas que quieran ejercer su derecho al voto por correo, deberán solicitarlo a la Junta Electoral en el plazo de 10 días naturales contado desde el día siguiente al de la publicación de la convocatoria. </w:t>
      </w:r>
    </w:p>
    <w:p w14:paraId="02D49A5E" w14:textId="77777777" w:rsidR="00742227" w:rsidRPr="00742227" w:rsidRDefault="00742227" w:rsidP="00742227">
      <w:pPr>
        <w:autoSpaceDE w:val="0"/>
        <w:autoSpaceDN w:val="0"/>
        <w:adjustRightInd w:val="0"/>
        <w:spacing w:after="0" w:line="240" w:lineRule="auto"/>
        <w:rPr>
          <w:rFonts w:ascii="Calibri" w:hAnsi="Calibri" w:cs="Calibri"/>
        </w:rPr>
      </w:pPr>
      <w:r w:rsidRPr="00742227">
        <w:rPr>
          <w:rFonts w:ascii="Calibri" w:hAnsi="Calibri" w:cs="Calibri"/>
        </w:rPr>
        <w:t xml:space="preserve">2. </w:t>
      </w:r>
    </w:p>
    <w:p w14:paraId="47EAD928" w14:textId="4F5DA9EA" w:rsidR="00742227" w:rsidRPr="00742227" w:rsidRDefault="00742227" w:rsidP="00742227">
      <w:pPr>
        <w:autoSpaceDE w:val="0"/>
        <w:autoSpaceDN w:val="0"/>
        <w:adjustRightInd w:val="0"/>
        <w:spacing w:after="0" w:line="240" w:lineRule="auto"/>
        <w:rPr>
          <w:rFonts w:ascii="Bookman Old Style" w:hAnsi="Bookman Old Style" w:cs="Bookman Old Style"/>
          <w:sz w:val="23"/>
          <w:szCs w:val="23"/>
        </w:rPr>
      </w:pPr>
      <w:r w:rsidRPr="00742227">
        <w:rPr>
          <w:rFonts w:ascii="Bookman Old Style" w:hAnsi="Bookman Old Style" w:cs="Bookman Old Style"/>
          <w:sz w:val="23"/>
          <w:szCs w:val="23"/>
        </w:rPr>
        <w:t xml:space="preserve">La Junta Electoral, una vez sea definitivo el censo, pondrá a disposición de aquellas personas que lo hayan solicitado los modelos oficiales de papeletas y sobres para el ejercicio del voto por correo, debiendo remitirlos si así lo solicitan. </w:t>
      </w:r>
    </w:p>
    <w:p w14:paraId="1799BEE8" w14:textId="77777777" w:rsidR="00742227" w:rsidRPr="00742227" w:rsidRDefault="00742227" w:rsidP="00742227">
      <w:pPr>
        <w:autoSpaceDE w:val="0"/>
        <w:autoSpaceDN w:val="0"/>
        <w:adjustRightInd w:val="0"/>
        <w:spacing w:after="0" w:line="240" w:lineRule="auto"/>
        <w:rPr>
          <w:rFonts w:ascii="Calibri" w:hAnsi="Calibri" w:cs="Calibri"/>
        </w:rPr>
      </w:pPr>
      <w:r w:rsidRPr="00742227">
        <w:rPr>
          <w:rFonts w:ascii="Calibri" w:hAnsi="Calibri" w:cs="Calibri"/>
        </w:rPr>
        <w:t xml:space="preserve">3. </w:t>
      </w:r>
    </w:p>
    <w:p w14:paraId="53BA99E1" w14:textId="574C5E88" w:rsidR="00742227" w:rsidRPr="00742227" w:rsidRDefault="00742227" w:rsidP="00742227">
      <w:pPr>
        <w:autoSpaceDE w:val="0"/>
        <w:autoSpaceDN w:val="0"/>
        <w:adjustRightInd w:val="0"/>
        <w:spacing w:after="0" w:line="240" w:lineRule="auto"/>
        <w:rPr>
          <w:rFonts w:ascii="Bookman Old Style" w:hAnsi="Bookman Old Style" w:cs="Bookman Old Style"/>
          <w:sz w:val="23"/>
          <w:szCs w:val="23"/>
        </w:rPr>
      </w:pPr>
      <w:r w:rsidRPr="00742227">
        <w:rPr>
          <w:rFonts w:ascii="Bookman Old Style" w:hAnsi="Bookman Old Style" w:cs="Bookman Old Style"/>
          <w:sz w:val="23"/>
          <w:szCs w:val="23"/>
        </w:rPr>
        <w:t xml:space="preserve">Los votos emitidos por correo deben ser enviados a la dirección postal prevista en el acuerdo de convocatoria del proceso electoral. </w:t>
      </w:r>
    </w:p>
    <w:p w14:paraId="38AE25E8" w14:textId="77777777" w:rsidR="00742227" w:rsidRPr="00742227" w:rsidRDefault="00742227" w:rsidP="00742227">
      <w:pPr>
        <w:autoSpaceDE w:val="0"/>
        <w:autoSpaceDN w:val="0"/>
        <w:adjustRightInd w:val="0"/>
        <w:spacing w:after="0" w:line="240" w:lineRule="auto"/>
        <w:rPr>
          <w:rFonts w:ascii="Calibri" w:hAnsi="Calibri" w:cs="Calibri"/>
        </w:rPr>
      </w:pPr>
      <w:r w:rsidRPr="00742227">
        <w:rPr>
          <w:rFonts w:ascii="Calibri" w:hAnsi="Calibri" w:cs="Calibri"/>
        </w:rPr>
        <w:t xml:space="preserve">4. </w:t>
      </w:r>
    </w:p>
    <w:p w14:paraId="321BEE23" w14:textId="2B54BA95" w:rsidR="00742227" w:rsidRPr="00742227" w:rsidRDefault="00742227" w:rsidP="00742227">
      <w:pPr>
        <w:autoSpaceDE w:val="0"/>
        <w:autoSpaceDN w:val="0"/>
        <w:adjustRightInd w:val="0"/>
        <w:spacing w:after="0" w:line="240" w:lineRule="auto"/>
        <w:rPr>
          <w:rFonts w:ascii="Bookman Old Style" w:hAnsi="Bookman Old Style" w:cs="Bookman Old Style"/>
          <w:sz w:val="23"/>
          <w:szCs w:val="23"/>
        </w:rPr>
      </w:pPr>
      <w:r w:rsidRPr="00742227">
        <w:rPr>
          <w:rFonts w:ascii="Bookman Old Style" w:hAnsi="Bookman Old Style" w:cs="Bookman Old Style"/>
          <w:sz w:val="23"/>
          <w:szCs w:val="23"/>
        </w:rPr>
        <w:t xml:space="preserve">La Junta Electoral será responsable de la custodia de los votos emitidos por correo hasta el momento de su entrega a la mesa electoral para su apertura que, en todo caso, se realizará en acto público. La responsabilidad de la Junta Electoral sobre la custodia de los votos, se </w:t>
      </w:r>
    </w:p>
    <w:p w14:paraId="28087959" w14:textId="6C86B22E" w:rsidR="00742227" w:rsidRPr="00742227" w:rsidRDefault="00742227" w:rsidP="00742227">
      <w:pPr>
        <w:autoSpaceDE w:val="0"/>
        <w:autoSpaceDN w:val="0"/>
        <w:adjustRightInd w:val="0"/>
        <w:spacing w:after="0" w:line="240" w:lineRule="auto"/>
        <w:rPr>
          <w:rFonts w:ascii="Bookman Old Style" w:hAnsi="Bookman Old Style" w:cs="Bookman Old Style"/>
          <w:sz w:val="23"/>
          <w:szCs w:val="23"/>
        </w:rPr>
      </w:pPr>
      <w:r w:rsidRPr="00742227">
        <w:rPr>
          <w:rFonts w:ascii="Bookman Old Style" w:hAnsi="Bookman Old Style" w:cs="Bookman Old Style"/>
          <w:sz w:val="23"/>
          <w:szCs w:val="23"/>
        </w:rPr>
        <w:t xml:space="preserve">mantendrá durante el acto de apertura y posteriormente hasta que los resultados electorales sean firmes en vía administrativa. </w:t>
      </w:r>
    </w:p>
    <w:p w14:paraId="68240CE4" w14:textId="77777777" w:rsidR="00742227" w:rsidRPr="00742227" w:rsidRDefault="00742227" w:rsidP="00742227">
      <w:pPr>
        <w:autoSpaceDE w:val="0"/>
        <w:autoSpaceDN w:val="0"/>
        <w:adjustRightInd w:val="0"/>
        <w:spacing w:after="0" w:line="240" w:lineRule="auto"/>
        <w:rPr>
          <w:rFonts w:ascii="Calibri" w:hAnsi="Calibri" w:cs="Calibri"/>
        </w:rPr>
      </w:pPr>
      <w:r w:rsidRPr="00742227">
        <w:rPr>
          <w:rFonts w:ascii="Calibri" w:hAnsi="Calibri" w:cs="Calibri"/>
        </w:rPr>
        <w:t xml:space="preserve">5. </w:t>
      </w:r>
    </w:p>
    <w:p w14:paraId="62FC0E39" w14:textId="3ABE5738" w:rsidR="00742227" w:rsidRDefault="00742227" w:rsidP="00742227">
      <w:pPr>
        <w:autoSpaceDE w:val="0"/>
        <w:autoSpaceDN w:val="0"/>
        <w:adjustRightInd w:val="0"/>
        <w:spacing w:after="0" w:line="240" w:lineRule="auto"/>
      </w:pPr>
      <w:r w:rsidRPr="00742227">
        <w:rPr>
          <w:rFonts w:ascii="Bookman Old Style" w:hAnsi="Bookman Old Style" w:cs="Bookman Old Style"/>
          <w:sz w:val="23"/>
          <w:szCs w:val="23"/>
        </w:rPr>
        <w:t>Las personas que deseen emitir su voto por correo introducirán la papeleta oficial en el sobre oficial, tras ello, se cerrará el sobre oficial y, junto con la fotocopia del Documento Nacional de Identidad del votante u otro documento válido para la verificación de su identidad conforme a la legislación del Estado, se introducirá toda la documentación en otro</w:t>
      </w:r>
      <w:r>
        <w:t xml:space="preserve"> </w:t>
      </w:r>
    </w:p>
    <w:p w14:paraId="04656FF7" w14:textId="27C3B0B7"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t xml:space="preserve">sobre de mayor tamaño en el que conste la identidad del remitente, la denominación de la federación deportiva, la dirección postal a la que se refiere el apartado 3 y el estamento por el que se vota. </w:t>
      </w:r>
    </w:p>
    <w:p w14:paraId="42851AEA" w14:textId="77777777" w:rsidR="00742227" w:rsidRDefault="00742227" w:rsidP="00742227">
      <w:pPr>
        <w:pStyle w:val="Default"/>
        <w:rPr>
          <w:color w:val="auto"/>
          <w:sz w:val="22"/>
          <w:szCs w:val="22"/>
        </w:rPr>
      </w:pPr>
      <w:r>
        <w:rPr>
          <w:color w:val="auto"/>
          <w:sz w:val="22"/>
          <w:szCs w:val="22"/>
        </w:rPr>
        <w:t xml:space="preserve">6. </w:t>
      </w:r>
    </w:p>
    <w:p w14:paraId="57E8B3DA" w14:textId="6FB1B323"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t xml:space="preserve">Los votos se remitirán a través del servicio postal de “Correos y Telégrafos, Sociedad Anónima” o por los servicios de una empresa privada de mensajería. </w:t>
      </w:r>
    </w:p>
    <w:p w14:paraId="15489255" w14:textId="77777777" w:rsidR="00742227" w:rsidRDefault="00742227" w:rsidP="00742227">
      <w:pPr>
        <w:pStyle w:val="Default"/>
        <w:rPr>
          <w:color w:val="auto"/>
          <w:sz w:val="22"/>
          <w:szCs w:val="22"/>
        </w:rPr>
      </w:pPr>
      <w:r>
        <w:rPr>
          <w:color w:val="auto"/>
          <w:sz w:val="22"/>
          <w:szCs w:val="22"/>
        </w:rPr>
        <w:t xml:space="preserve">7. </w:t>
      </w:r>
    </w:p>
    <w:p w14:paraId="71FEE3C1" w14:textId="0F324206"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t xml:space="preserve">Únicamente se admitirán los votos por correo que lleguen a la mesa electoral antes del cierre de la votación. </w:t>
      </w:r>
    </w:p>
    <w:p w14:paraId="5A7450CF" w14:textId="77777777" w:rsidR="00742227" w:rsidRDefault="00742227" w:rsidP="00742227">
      <w:pPr>
        <w:pStyle w:val="Default"/>
        <w:rPr>
          <w:color w:val="auto"/>
          <w:sz w:val="22"/>
          <w:szCs w:val="22"/>
        </w:rPr>
      </w:pPr>
      <w:r>
        <w:rPr>
          <w:color w:val="auto"/>
          <w:sz w:val="22"/>
          <w:szCs w:val="22"/>
        </w:rPr>
        <w:t xml:space="preserve">8. </w:t>
      </w:r>
    </w:p>
    <w:p w14:paraId="673BB627" w14:textId="5FD10711"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t xml:space="preserve">Llegado el cierre de la votación, se distribuirán los votos emitidos por correo en las urnas correspondientes y, antes de su introducción en las mismas, se comprobará que no existe duplicidad en los votos por correo recibidos, en cuyo caso, se eliminarán ambos. A continuación se abrirá el sobre exterior y se verificará la identidad del votante, su inclusión en el censo y se asegurará que no haya ejercido el voto de forma presencial, en cuyo caso, primará el voto presencial y se eliminará el voto </w:t>
      </w:r>
    </w:p>
    <w:p w14:paraId="283283FB" w14:textId="71090ED5"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lastRenderedPageBreak/>
        <w:t xml:space="preserve">por correo. Completadas estas operaciones de control, se introducirán en las urnas correspondientes los sobres oficiales sin abrir. </w:t>
      </w:r>
    </w:p>
    <w:p w14:paraId="34FE04BC" w14:textId="77777777" w:rsidR="00742227" w:rsidRDefault="00742227" w:rsidP="00742227">
      <w:pPr>
        <w:pStyle w:val="Default"/>
        <w:rPr>
          <w:color w:val="auto"/>
          <w:sz w:val="22"/>
          <w:szCs w:val="22"/>
        </w:rPr>
      </w:pPr>
      <w:r>
        <w:rPr>
          <w:color w:val="auto"/>
          <w:sz w:val="22"/>
          <w:szCs w:val="22"/>
        </w:rPr>
        <w:t xml:space="preserve">9. </w:t>
      </w:r>
    </w:p>
    <w:p w14:paraId="3939D9D7" w14:textId="77560A8B" w:rsidR="00742227" w:rsidRDefault="00742227" w:rsidP="00742227">
      <w:pPr>
        <w:pStyle w:val="Default"/>
        <w:rPr>
          <w:rFonts w:ascii="Bookman Old Style" w:hAnsi="Bookman Old Style" w:cs="Bookman Old Style"/>
          <w:color w:val="auto"/>
          <w:sz w:val="23"/>
          <w:szCs w:val="23"/>
        </w:rPr>
      </w:pPr>
      <w:r>
        <w:rPr>
          <w:rFonts w:ascii="Bookman Old Style" w:hAnsi="Bookman Old Style" w:cs="Bookman Old Style"/>
          <w:color w:val="auto"/>
          <w:sz w:val="23"/>
          <w:szCs w:val="23"/>
        </w:rPr>
        <w:t xml:space="preserve">En caso de defectos formales en el voto ejercido por correo, la mesa electoral dirimirá la validez del voto, pudiendo consultar a la Junta Electoral, primando en el análisis de su validez, la verificación de la identidad del votante y el secreto del sentido del voto. </w:t>
      </w:r>
    </w:p>
    <w:p w14:paraId="7B66F028" w14:textId="77777777" w:rsidR="00742227" w:rsidRDefault="00742227" w:rsidP="00742227">
      <w:pPr>
        <w:pStyle w:val="Default"/>
        <w:rPr>
          <w:color w:val="auto"/>
          <w:sz w:val="22"/>
          <w:szCs w:val="22"/>
        </w:rPr>
      </w:pPr>
      <w:r>
        <w:rPr>
          <w:color w:val="auto"/>
          <w:sz w:val="22"/>
          <w:szCs w:val="22"/>
        </w:rPr>
        <w:t xml:space="preserve">10. </w:t>
      </w:r>
    </w:p>
    <w:p w14:paraId="071A70D0" w14:textId="28B17006" w:rsidR="00DF79D9" w:rsidRDefault="00742227" w:rsidP="00742227">
      <w:pPr>
        <w:pStyle w:val="Default"/>
      </w:pPr>
      <w:r>
        <w:rPr>
          <w:rFonts w:ascii="Bookman Old Style" w:hAnsi="Bookman Old Style" w:cs="Bookman Old Style"/>
          <w:color w:val="auto"/>
          <w:sz w:val="23"/>
          <w:szCs w:val="23"/>
        </w:rPr>
        <w:t>No podrán destruirse los votos hasta que los resultados electorales sean firmes en vía administrativa, debiendo consignarse y custodiarse por la Junta Electoral.</w:t>
      </w:r>
    </w:p>
    <w:sectPr w:rsidR="00DF79D9" w:rsidSect="00BB4AB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68221" w14:textId="77777777" w:rsidR="00BC7516" w:rsidRDefault="00BC7516" w:rsidP="00BB4ABD">
      <w:pPr>
        <w:spacing w:after="0" w:line="240" w:lineRule="auto"/>
      </w:pPr>
      <w:r>
        <w:separator/>
      </w:r>
    </w:p>
  </w:endnote>
  <w:endnote w:type="continuationSeparator" w:id="0">
    <w:p w14:paraId="2D2287C3" w14:textId="77777777" w:rsidR="00BC7516" w:rsidRDefault="00BC7516" w:rsidP="00BB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ID Font+ F"/>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altName w:val="CID Font+ F"/>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5BCF" w14:textId="77777777" w:rsidR="00257F74" w:rsidRDefault="00257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B3B4B" w14:textId="77777777" w:rsidR="00257F74" w:rsidRDefault="00257F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7C048" w14:textId="77777777" w:rsidR="00257F74" w:rsidRDefault="00257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BBD91" w14:textId="77777777" w:rsidR="00BC7516" w:rsidRDefault="00BC7516" w:rsidP="00BB4ABD">
      <w:pPr>
        <w:spacing w:after="0" w:line="240" w:lineRule="auto"/>
      </w:pPr>
      <w:r>
        <w:separator/>
      </w:r>
    </w:p>
  </w:footnote>
  <w:footnote w:type="continuationSeparator" w:id="0">
    <w:p w14:paraId="503473C5" w14:textId="77777777" w:rsidR="00BC7516" w:rsidRDefault="00BC7516" w:rsidP="00BB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65FDD" w14:textId="29072A2F" w:rsidR="00BB4ABD" w:rsidRDefault="00000000">
    <w:pPr>
      <w:pStyle w:val="Encabezado"/>
    </w:pPr>
    <w:r>
      <w:rPr>
        <w:noProof/>
      </w:rPr>
      <w:pict w14:anchorId="12EA1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18360" o:spid="_x0000_s1026" type="#_x0000_t75" style="position:absolute;margin-left:0;margin-top:0;width:425.1pt;height:411.4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A389" w14:textId="3979AC7C" w:rsidR="00BB4ABD" w:rsidRDefault="00000000" w:rsidP="00BB4ABD">
    <w:pPr>
      <w:pStyle w:val="Encabezado"/>
      <w:jc w:val="both"/>
      <w:rPr>
        <w:rFonts w:ascii="Verdana" w:hAnsi="Verdana"/>
        <w:b/>
        <w:bCs/>
        <w:i/>
        <w:iCs/>
      </w:rPr>
    </w:pPr>
    <w:r>
      <w:rPr>
        <w:noProof/>
      </w:rPr>
      <w:pict w14:anchorId="0BDAE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18361" o:spid="_x0000_s1027" type="#_x0000_t75" style="position:absolute;left:0;text-align:left;margin-left:0;margin-top:0;width:425.1pt;height:411.4pt;z-index:-251656192;mso-position-horizontal:center;mso-position-horizontal-relative:margin;mso-position-vertical:center;mso-position-vertical-relative:margin" o:allowincell="f">
          <v:imagedata r:id="rId1" o:title="logo" gain="19661f" blacklevel="22938f"/>
          <w10:wrap anchorx="margin" anchory="margin"/>
        </v:shape>
      </w:pict>
    </w:r>
    <w:r w:rsidR="00BB4ABD">
      <w:rPr>
        <w:noProof/>
      </w:rPr>
      <w:drawing>
        <wp:inline distT="0" distB="0" distL="0" distR="0" wp14:anchorId="512F6AB6" wp14:editId="224EF0D3">
          <wp:extent cx="876300" cy="849745"/>
          <wp:effectExtent l="0" t="0" r="0" b="7620"/>
          <wp:docPr id="20232425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723" cy="854034"/>
                  </a:xfrm>
                  <a:prstGeom prst="rect">
                    <a:avLst/>
                  </a:prstGeom>
                  <a:noFill/>
                  <a:ln>
                    <a:noFill/>
                  </a:ln>
                </pic:spPr>
              </pic:pic>
            </a:graphicData>
          </a:graphic>
        </wp:inline>
      </w:drawing>
    </w:r>
  </w:p>
  <w:p w14:paraId="2DCA983D" w14:textId="128E3467" w:rsidR="00BB4ABD" w:rsidRDefault="00BB4ABD">
    <w:pPr>
      <w:pStyle w:val="Encabezado"/>
      <w:rPr>
        <w:rFonts w:ascii="Verdana" w:hAnsi="Verdana"/>
        <w:b/>
        <w:bCs/>
        <w:i/>
        <w:iCs/>
      </w:rPr>
    </w:pPr>
    <w:r>
      <w:rPr>
        <w:rFonts w:ascii="Verdana" w:hAnsi="Verdana"/>
        <w:b/>
        <w:bCs/>
        <w:i/>
        <w:iCs/>
      </w:rPr>
      <w:t>Federación de Triatlón de Castilla la Mancha</w:t>
    </w:r>
  </w:p>
  <w:p w14:paraId="37BB94A0" w14:textId="0F0B2077" w:rsidR="00BB4ABD" w:rsidRDefault="00BB4ABD" w:rsidP="00BB4ABD">
    <w:pPr>
      <w:pStyle w:val="Encabezado"/>
      <w:rPr>
        <w:rFonts w:ascii="Verdana" w:hAnsi="Verdana"/>
        <w:b/>
        <w:bCs/>
        <w:i/>
        <w:iCs/>
      </w:rPr>
    </w:pPr>
    <w:r>
      <w:rPr>
        <w:rFonts w:ascii="Verdana" w:hAnsi="Verdana"/>
        <w:b/>
        <w:bCs/>
        <w:i/>
        <w:iCs/>
      </w:rPr>
      <w:t>C/ Alcalde Martínez de la Osa, 2 – 02001 Albacete (Casa del Deporte)</w:t>
    </w:r>
  </w:p>
  <w:p w14:paraId="552EDF1F" w14:textId="71F0A374" w:rsidR="00BB4ABD" w:rsidRPr="00BB4ABD" w:rsidRDefault="00BB4ABD">
    <w:pPr>
      <w:pStyle w:val="Encabezado"/>
      <w:rPr>
        <w:rFonts w:ascii="Verdana" w:hAnsi="Verdana"/>
        <w:b/>
        <w:bCs/>
        <w:i/>
        <w:iCs/>
      </w:rPr>
    </w:pPr>
    <w:r>
      <w:tab/>
    </w:r>
  </w:p>
  <w:p w14:paraId="38929D1C" w14:textId="77777777" w:rsidR="00BB4ABD" w:rsidRDefault="00BB4AB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3F76F" w14:textId="27A206A1" w:rsidR="00BB4ABD" w:rsidRDefault="00000000">
    <w:pPr>
      <w:pStyle w:val="Encabezado"/>
    </w:pPr>
    <w:r>
      <w:rPr>
        <w:noProof/>
      </w:rPr>
      <w:pict w14:anchorId="0DE51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18359" o:spid="_x0000_s1025" type="#_x0000_t75" style="position:absolute;margin-left:0;margin-top:0;width:425.1pt;height:411.4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D9"/>
    <w:rsid w:val="001E07E0"/>
    <w:rsid w:val="00257F74"/>
    <w:rsid w:val="00262316"/>
    <w:rsid w:val="00405211"/>
    <w:rsid w:val="00551108"/>
    <w:rsid w:val="00742227"/>
    <w:rsid w:val="008769B1"/>
    <w:rsid w:val="00AB19E1"/>
    <w:rsid w:val="00B32EA5"/>
    <w:rsid w:val="00BB4ABD"/>
    <w:rsid w:val="00BC7516"/>
    <w:rsid w:val="00CF14EA"/>
    <w:rsid w:val="00DE5A04"/>
    <w:rsid w:val="00DF79D9"/>
    <w:rsid w:val="00F23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D027"/>
  <w15:chartTrackingRefBased/>
  <w15:docId w15:val="{F8BF0AD3-08AD-4AE5-B567-D4286C5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A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ABD"/>
  </w:style>
  <w:style w:type="paragraph" w:styleId="Piedepgina">
    <w:name w:val="footer"/>
    <w:basedOn w:val="Normal"/>
    <w:link w:val="PiedepginaCar"/>
    <w:uiPriority w:val="99"/>
    <w:unhideWhenUsed/>
    <w:rsid w:val="00BB4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ABD"/>
  </w:style>
  <w:style w:type="paragraph" w:customStyle="1" w:styleId="Default">
    <w:name w:val="Default"/>
    <w:rsid w:val="007422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467</Words>
  <Characters>2574</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Gómez Hervás</dc:creator>
  <cp:keywords/>
  <dc:description/>
  <cp:lastModifiedBy>Maite Gómez Hervás</cp:lastModifiedBy>
  <cp:revision>6</cp:revision>
  <dcterms:created xsi:type="dcterms:W3CDTF">2024-07-24T09:43:00Z</dcterms:created>
  <dcterms:modified xsi:type="dcterms:W3CDTF">2024-07-29T07:26:00Z</dcterms:modified>
</cp:coreProperties>
</file>